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7E" w:rsidRDefault="00B4157E">
      <w:pPr>
        <w:pStyle w:val="Heading1"/>
        <w:jc w:val="center"/>
        <w:rPr>
          <w:sz w:val="52"/>
          <w:szCs w:val="52"/>
        </w:rPr>
      </w:pPr>
      <w:bookmarkStart w:id="0" w:name="_GoBack"/>
      <w:bookmarkEnd w:id="0"/>
      <w:r>
        <w:rPr>
          <w:sz w:val="52"/>
          <w:szCs w:val="52"/>
        </w:rPr>
        <w:t>H I S T E L C O N   2 0 0 8</w:t>
      </w:r>
    </w:p>
    <w:p w:rsidR="00B4157E" w:rsidRDefault="00B4157E">
      <w:pPr>
        <w:pStyle w:val="Heading2"/>
        <w:jc w:val="center"/>
        <w:rPr>
          <w:i w:val="0"/>
          <w:iCs w:val="0"/>
        </w:rPr>
      </w:pPr>
      <w:r>
        <w:rPr>
          <w:i w:val="0"/>
          <w:iCs w:val="0"/>
        </w:rPr>
        <w:t>IEEE HISTORY OF ELECTROTECHNOLOGY CONFERENCE</w:t>
      </w:r>
    </w:p>
    <w:p w:rsidR="00B4157E" w:rsidRDefault="00B4157E">
      <w:pPr>
        <w:pStyle w:val="Heading4"/>
      </w:pPr>
      <w:r>
        <w:t xml:space="preserve">    From Semaphore to cellular radio telecommunications</w:t>
      </w:r>
    </w:p>
    <w:p w:rsidR="00B4157E" w:rsidRDefault="00B4157E">
      <w:pPr>
        <w:pStyle w:val="Heading2"/>
        <w:pBdr>
          <w:bottom w:val="single" w:sz="12" w:space="1" w:color="auto"/>
        </w:pBdr>
        <w:jc w:val="center"/>
      </w:pPr>
      <w:smartTag w:uri="urn:schemas-microsoft-com:office:smarttags" w:element="place">
        <w:smartTag w:uri="urn:schemas-microsoft-com:office:smarttags" w:element="City">
          <w:r>
            <w:t>Paris</w:t>
          </w:r>
        </w:smartTag>
        <w:r>
          <w:t xml:space="preserve">, </w:t>
        </w:r>
        <w:smartTag w:uri="urn:schemas-microsoft-com:office:smarttags" w:element="country-region">
          <w:r>
            <w:t>France</w:t>
          </w:r>
        </w:smartTag>
      </w:smartTag>
      <w:r>
        <w:t xml:space="preserve"> – 11-12 September 2008</w:t>
      </w:r>
    </w:p>
    <w:p w:rsidR="00B4157E" w:rsidRDefault="00B4157E">
      <w:pPr>
        <w:pStyle w:val="Heading3"/>
      </w:pPr>
      <w:r>
        <w:t>First Call for Papers</w:t>
      </w:r>
    </w:p>
    <w:p w:rsidR="00B4157E" w:rsidRDefault="00B4157E"/>
    <w:p w:rsidR="00B4157E" w:rsidRDefault="00B4157E">
      <w:pPr>
        <w:jc w:val="both"/>
        <w:rPr>
          <w:sz w:val="28"/>
          <w:szCs w:val="28"/>
          <w:lang w:val="en-GB"/>
        </w:rPr>
      </w:pPr>
      <w:r>
        <w:rPr>
          <w:b/>
          <w:bCs/>
          <w:i/>
          <w:iCs/>
          <w:sz w:val="28"/>
          <w:szCs w:val="28"/>
        </w:rPr>
        <w:t xml:space="preserve">Background </w:t>
      </w:r>
      <w:r>
        <w:rPr>
          <w:i/>
          <w:iCs/>
          <w:sz w:val="28"/>
          <w:szCs w:val="28"/>
        </w:rPr>
        <w:t xml:space="preserve">- </w:t>
      </w:r>
      <w:r>
        <w:rPr>
          <w:sz w:val="28"/>
          <w:szCs w:val="28"/>
          <w:lang w:val="en-GB"/>
        </w:rPr>
        <w:t xml:space="preserve">The transmission of messages faster than a man could run or a horseback could ride </w:t>
      </w:r>
      <w:proofErr w:type="gramStart"/>
      <w:r>
        <w:rPr>
          <w:sz w:val="28"/>
          <w:szCs w:val="28"/>
          <w:lang w:val="en-GB"/>
        </w:rPr>
        <w:t>was based</w:t>
      </w:r>
      <w:proofErr w:type="gramEnd"/>
      <w:r>
        <w:rPr>
          <w:sz w:val="28"/>
          <w:szCs w:val="28"/>
          <w:lang w:val="en-GB"/>
        </w:rPr>
        <w:t xml:space="preserve"> for many centuries on drums, fiery beacons, smoke, etc. Greeks and Romans developed different “telegraph systems” to send military messages.</w:t>
      </w:r>
    </w:p>
    <w:p w:rsidR="00B4157E" w:rsidRDefault="00B4157E">
      <w:pPr>
        <w:jc w:val="both"/>
        <w:rPr>
          <w:sz w:val="28"/>
          <w:szCs w:val="28"/>
          <w:lang w:val="en-GB"/>
        </w:rPr>
      </w:pPr>
      <w:r>
        <w:rPr>
          <w:sz w:val="28"/>
          <w:szCs w:val="28"/>
          <w:lang w:val="en-GB"/>
        </w:rPr>
        <w:t xml:space="preserve">The Chappe brothers in </w:t>
      </w:r>
      <w:smartTag w:uri="urn:schemas-microsoft-com:office:smarttags" w:element="country-region">
        <w:smartTag w:uri="urn:schemas-microsoft-com:office:smarttags" w:element="place">
          <w:r>
            <w:rPr>
              <w:sz w:val="28"/>
              <w:szCs w:val="28"/>
              <w:lang w:val="en-GB"/>
            </w:rPr>
            <w:t>France</w:t>
          </w:r>
        </w:smartTag>
      </w:smartTag>
      <w:r>
        <w:rPr>
          <w:sz w:val="28"/>
          <w:szCs w:val="28"/>
          <w:lang w:val="en-GB"/>
        </w:rPr>
        <w:t xml:space="preserve"> did much in the late 18</w:t>
      </w:r>
      <w:r>
        <w:rPr>
          <w:sz w:val="28"/>
          <w:szCs w:val="28"/>
          <w:vertAlign w:val="superscript"/>
          <w:lang w:val="en-GB"/>
        </w:rPr>
        <w:t>th</w:t>
      </w:r>
      <w:r>
        <w:rPr>
          <w:sz w:val="28"/>
          <w:szCs w:val="28"/>
          <w:lang w:val="en-GB"/>
        </w:rPr>
        <w:t xml:space="preserve"> century to develop the visual telegraph through a system of semaphore arms that </w:t>
      </w:r>
      <w:proofErr w:type="gramStart"/>
      <w:r>
        <w:rPr>
          <w:sz w:val="28"/>
          <w:szCs w:val="28"/>
          <w:lang w:val="en-GB"/>
        </w:rPr>
        <w:t>could quickly be manipulated</w:t>
      </w:r>
      <w:proofErr w:type="gramEnd"/>
      <w:r>
        <w:rPr>
          <w:sz w:val="28"/>
          <w:szCs w:val="28"/>
          <w:lang w:val="en-GB"/>
        </w:rPr>
        <w:t xml:space="preserve"> to form different shapes. During the 19</w:t>
      </w:r>
      <w:r>
        <w:rPr>
          <w:sz w:val="28"/>
          <w:szCs w:val="28"/>
          <w:vertAlign w:val="superscript"/>
          <w:lang w:val="en-GB"/>
        </w:rPr>
        <w:t>th</w:t>
      </w:r>
      <w:r>
        <w:rPr>
          <w:sz w:val="28"/>
          <w:szCs w:val="28"/>
          <w:lang w:val="en-GB"/>
        </w:rPr>
        <w:t xml:space="preserve"> and 20</w:t>
      </w:r>
      <w:r>
        <w:rPr>
          <w:sz w:val="28"/>
          <w:szCs w:val="28"/>
          <w:vertAlign w:val="superscript"/>
          <w:lang w:val="en-GB"/>
        </w:rPr>
        <w:t>th</w:t>
      </w:r>
      <w:r>
        <w:rPr>
          <w:sz w:val="28"/>
          <w:szCs w:val="28"/>
          <w:lang w:val="en-GB"/>
        </w:rPr>
        <w:t xml:space="preserve"> centuries, signal transmission and encoding followed major technological and sociological developments, to the point that today millions of users make contact through cellular telecommunications and the internet.</w:t>
      </w:r>
    </w:p>
    <w:p w:rsidR="00B4157E" w:rsidRDefault="00B4157E">
      <w:pPr>
        <w:jc w:val="both"/>
        <w:rPr>
          <w:sz w:val="28"/>
          <w:szCs w:val="28"/>
          <w:lang w:val="en-GB"/>
        </w:rPr>
      </w:pPr>
    </w:p>
    <w:p w:rsidR="00B4157E" w:rsidRDefault="00B4157E">
      <w:pPr>
        <w:jc w:val="both"/>
        <w:rPr>
          <w:lang w:val="en-GB"/>
        </w:rPr>
      </w:pPr>
      <w:r>
        <w:rPr>
          <w:b/>
          <w:bCs/>
          <w:i/>
          <w:iCs/>
          <w:sz w:val="28"/>
          <w:szCs w:val="28"/>
          <w:lang w:val="en-GB"/>
        </w:rPr>
        <w:t xml:space="preserve">The Conference - </w:t>
      </w:r>
      <w:r>
        <w:rPr>
          <w:sz w:val="28"/>
          <w:szCs w:val="28"/>
          <w:lang w:val="en-GB"/>
        </w:rPr>
        <w:t xml:space="preserve">The IEEE 2008 History Conference intends to build a comprehensive view of the history of electrical and information technologies, through professional papers, each of which investigates some formative development in the last centuries. The developments may include the opening of a new area of application, the invention of a major technique or the gradual replacement of one dominant technique by another. An important feature of this conference is the participation of people with different backgrounds – engineers, historians, museum curators </w:t>
      </w:r>
      <w:proofErr w:type="gramStart"/>
      <w:r>
        <w:rPr>
          <w:sz w:val="28"/>
          <w:szCs w:val="28"/>
          <w:lang w:val="en-GB"/>
        </w:rPr>
        <w:t>-  that</w:t>
      </w:r>
      <w:proofErr w:type="gramEnd"/>
      <w:r>
        <w:rPr>
          <w:sz w:val="28"/>
          <w:szCs w:val="28"/>
          <w:lang w:val="en-GB"/>
        </w:rPr>
        <w:t xml:space="preserve"> should make discussions particularly fruitful</w:t>
      </w:r>
      <w:r>
        <w:rPr>
          <w:lang w:val="en-GB"/>
        </w:rPr>
        <w:t xml:space="preserve">. </w:t>
      </w:r>
      <w:r>
        <w:rPr>
          <w:sz w:val="28"/>
          <w:szCs w:val="28"/>
          <w:lang w:val="en-GB"/>
        </w:rPr>
        <w:t>Visits to Museums will also stimulate exchange of ideas</w:t>
      </w:r>
      <w:r>
        <w:rPr>
          <w:lang w:val="en-GB"/>
        </w:rPr>
        <w:t>.</w:t>
      </w:r>
    </w:p>
    <w:p w:rsidR="00B4157E" w:rsidRDefault="00B4157E">
      <w:pPr>
        <w:jc w:val="both"/>
        <w:rPr>
          <w:lang w:val="en-GB"/>
        </w:rPr>
      </w:pPr>
    </w:p>
    <w:p w:rsidR="00B4157E" w:rsidRDefault="00B4157E">
      <w:pPr>
        <w:shd w:val="clear" w:color="auto" w:fill="FFFFFF"/>
        <w:spacing w:line="285" w:lineRule="atLeast"/>
        <w:jc w:val="both"/>
        <w:rPr>
          <w:sz w:val="21"/>
          <w:szCs w:val="21"/>
          <w:u w:val="single"/>
        </w:rPr>
      </w:pPr>
      <w:r>
        <w:rPr>
          <w:b/>
          <w:bCs/>
          <w:i/>
          <w:iCs/>
          <w:sz w:val="28"/>
          <w:szCs w:val="28"/>
          <w:lang w:val="en-GB"/>
        </w:rPr>
        <w:t xml:space="preserve">Theme and topics – </w:t>
      </w:r>
      <w:r>
        <w:rPr>
          <w:sz w:val="28"/>
          <w:szCs w:val="28"/>
          <w:lang w:val="en-GB"/>
        </w:rPr>
        <w:t>The theme of the Conference is: “</w:t>
      </w:r>
      <w:r>
        <w:rPr>
          <w:b/>
          <w:bCs/>
          <w:i/>
          <w:iCs/>
          <w:sz w:val="28"/>
          <w:szCs w:val="28"/>
          <w:lang w:val="en-GB"/>
        </w:rPr>
        <w:t xml:space="preserve">From Semaphore to cellular radio telecommunications”. </w:t>
      </w:r>
      <w:r>
        <w:rPr>
          <w:sz w:val="28"/>
          <w:szCs w:val="28"/>
          <w:u w:val="single"/>
        </w:rPr>
        <w:t xml:space="preserve">We invite original and innovative contributions in areas including, but not limited </w:t>
      </w:r>
      <w:proofErr w:type="gramStart"/>
      <w:r>
        <w:rPr>
          <w:sz w:val="28"/>
          <w:szCs w:val="28"/>
          <w:u w:val="single"/>
        </w:rPr>
        <w:t>to</w:t>
      </w:r>
      <w:proofErr w:type="gramEnd"/>
      <w:r>
        <w:rPr>
          <w:sz w:val="28"/>
          <w:szCs w:val="28"/>
          <w:u w:val="single"/>
        </w:rPr>
        <w:t>:</w:t>
      </w:r>
    </w:p>
    <w:p w:rsidR="00B4157E" w:rsidRDefault="00B4157E">
      <w:pPr>
        <w:numPr>
          <w:ilvl w:val="0"/>
          <w:numId w:val="2"/>
        </w:numPr>
        <w:tabs>
          <w:tab w:val="left" w:pos="720"/>
        </w:tabs>
        <w:ind w:left="720" w:hanging="360"/>
        <w:jc w:val="both"/>
        <w:rPr>
          <w:sz w:val="28"/>
          <w:szCs w:val="28"/>
          <w:lang w:val="en-GB"/>
        </w:rPr>
      </w:pPr>
      <w:r>
        <w:rPr>
          <w:sz w:val="28"/>
          <w:szCs w:val="28"/>
          <w:lang w:val="en-GB"/>
        </w:rPr>
        <w:t>Developments in Communications Technologies</w:t>
      </w:r>
    </w:p>
    <w:p w:rsidR="00B4157E" w:rsidRDefault="00B4157E">
      <w:pPr>
        <w:numPr>
          <w:ilvl w:val="0"/>
          <w:numId w:val="2"/>
        </w:numPr>
        <w:tabs>
          <w:tab w:val="left" w:pos="720"/>
        </w:tabs>
        <w:ind w:left="720" w:hanging="360"/>
        <w:jc w:val="both"/>
        <w:rPr>
          <w:sz w:val="28"/>
          <w:szCs w:val="28"/>
          <w:lang w:val="en-GB"/>
        </w:rPr>
      </w:pPr>
      <w:r>
        <w:rPr>
          <w:sz w:val="28"/>
          <w:szCs w:val="28"/>
          <w:lang w:val="en-GB"/>
        </w:rPr>
        <w:t>Communications as a museum item</w:t>
      </w:r>
    </w:p>
    <w:p w:rsidR="00B4157E" w:rsidRDefault="00B4157E">
      <w:pPr>
        <w:numPr>
          <w:ilvl w:val="0"/>
          <w:numId w:val="2"/>
        </w:numPr>
        <w:tabs>
          <w:tab w:val="left" w:pos="720"/>
        </w:tabs>
        <w:ind w:left="720" w:hanging="360"/>
        <w:jc w:val="both"/>
        <w:rPr>
          <w:sz w:val="28"/>
          <w:szCs w:val="28"/>
          <w:lang w:val="en-GB"/>
        </w:rPr>
      </w:pPr>
      <w:r>
        <w:rPr>
          <w:sz w:val="28"/>
          <w:szCs w:val="28"/>
          <w:lang w:val="en-GB"/>
        </w:rPr>
        <w:t>Milestones in Digital Communications</w:t>
      </w:r>
    </w:p>
    <w:p w:rsidR="00B4157E" w:rsidRDefault="00B4157E">
      <w:pPr>
        <w:numPr>
          <w:ilvl w:val="0"/>
          <w:numId w:val="2"/>
        </w:numPr>
        <w:tabs>
          <w:tab w:val="left" w:pos="720"/>
        </w:tabs>
        <w:ind w:left="720" w:hanging="360"/>
        <w:jc w:val="both"/>
        <w:rPr>
          <w:sz w:val="28"/>
          <w:szCs w:val="28"/>
          <w:lang w:val="en-GB"/>
        </w:rPr>
      </w:pPr>
      <w:r>
        <w:rPr>
          <w:sz w:val="28"/>
          <w:szCs w:val="28"/>
          <w:lang w:val="en-GB"/>
        </w:rPr>
        <w:t>History of Military Communication</w:t>
      </w:r>
    </w:p>
    <w:p w:rsidR="00B4157E" w:rsidRDefault="00B4157E">
      <w:pPr>
        <w:numPr>
          <w:ilvl w:val="0"/>
          <w:numId w:val="2"/>
        </w:numPr>
        <w:tabs>
          <w:tab w:val="left" w:pos="720"/>
        </w:tabs>
        <w:ind w:left="720" w:hanging="360"/>
        <w:jc w:val="both"/>
        <w:rPr>
          <w:sz w:val="28"/>
          <w:szCs w:val="28"/>
          <w:lang w:val="en-GB"/>
        </w:rPr>
      </w:pPr>
      <w:r>
        <w:rPr>
          <w:sz w:val="28"/>
          <w:szCs w:val="28"/>
          <w:lang w:val="en-GB"/>
        </w:rPr>
        <w:t xml:space="preserve">Great scientists of the </w:t>
      </w:r>
      <w:proofErr w:type="gramStart"/>
      <w:r>
        <w:rPr>
          <w:sz w:val="28"/>
          <w:szCs w:val="28"/>
          <w:lang w:val="en-GB"/>
        </w:rPr>
        <w:t>domain :</w:t>
      </w:r>
      <w:proofErr w:type="gramEnd"/>
      <w:r>
        <w:rPr>
          <w:sz w:val="28"/>
          <w:szCs w:val="28"/>
          <w:lang w:val="en-GB"/>
        </w:rPr>
        <w:t xml:space="preserve"> Gauss, Weber, Morse, Cooke, Wheatstone, Hughes, Baudot,  Branly, Marconi, Ferrié, etc.</w:t>
      </w:r>
    </w:p>
    <w:p w:rsidR="00B4157E" w:rsidRDefault="00B4157E">
      <w:pPr>
        <w:numPr>
          <w:ilvl w:val="0"/>
          <w:numId w:val="2"/>
        </w:numPr>
        <w:tabs>
          <w:tab w:val="left" w:pos="720"/>
        </w:tabs>
        <w:ind w:left="720" w:hanging="360"/>
        <w:jc w:val="both"/>
        <w:rPr>
          <w:sz w:val="28"/>
          <w:szCs w:val="28"/>
          <w:lang w:val="en-GB"/>
        </w:rPr>
      </w:pPr>
      <w:r>
        <w:rPr>
          <w:sz w:val="28"/>
          <w:szCs w:val="28"/>
          <w:lang w:val="en-GB"/>
        </w:rPr>
        <w:t>History of the Internet</w:t>
      </w:r>
    </w:p>
    <w:p w:rsidR="00B4157E" w:rsidRDefault="00B4157E">
      <w:pPr>
        <w:numPr>
          <w:ilvl w:val="0"/>
          <w:numId w:val="2"/>
        </w:numPr>
        <w:tabs>
          <w:tab w:val="left" w:pos="720"/>
        </w:tabs>
        <w:ind w:left="720" w:hanging="360"/>
        <w:jc w:val="both"/>
        <w:rPr>
          <w:sz w:val="28"/>
          <w:szCs w:val="28"/>
          <w:lang w:val="en-GB"/>
        </w:rPr>
      </w:pPr>
      <w:r>
        <w:rPr>
          <w:sz w:val="28"/>
          <w:szCs w:val="28"/>
          <w:lang w:val="en-GB"/>
        </w:rPr>
        <w:t>The technology replacement process</w:t>
      </w:r>
    </w:p>
    <w:p w:rsidR="00B4157E" w:rsidRDefault="00B4157E">
      <w:pPr>
        <w:numPr>
          <w:ilvl w:val="0"/>
          <w:numId w:val="2"/>
        </w:numPr>
        <w:tabs>
          <w:tab w:val="left" w:pos="720"/>
        </w:tabs>
        <w:ind w:left="720" w:hanging="360"/>
        <w:jc w:val="both"/>
        <w:rPr>
          <w:sz w:val="28"/>
          <w:szCs w:val="28"/>
          <w:lang w:val="en-GB"/>
        </w:rPr>
      </w:pPr>
      <w:r>
        <w:rPr>
          <w:sz w:val="28"/>
          <w:szCs w:val="28"/>
          <w:lang w:val="en-GB"/>
        </w:rPr>
        <w:t>Communications in the National context</w:t>
      </w:r>
    </w:p>
    <w:p w:rsidR="00B4157E" w:rsidRDefault="00B4157E">
      <w:pPr>
        <w:numPr>
          <w:ilvl w:val="0"/>
          <w:numId w:val="2"/>
        </w:numPr>
        <w:tabs>
          <w:tab w:val="left" w:pos="720"/>
        </w:tabs>
        <w:ind w:left="720" w:hanging="360"/>
        <w:jc w:val="both"/>
        <w:rPr>
          <w:sz w:val="28"/>
          <w:szCs w:val="28"/>
          <w:lang w:val="en-GB"/>
        </w:rPr>
      </w:pPr>
      <w:r>
        <w:rPr>
          <w:sz w:val="28"/>
          <w:szCs w:val="28"/>
          <w:lang w:val="en-GB"/>
        </w:rPr>
        <w:t>Encoding of messages</w:t>
      </w:r>
    </w:p>
    <w:p w:rsidR="00B4157E" w:rsidRDefault="00B4157E">
      <w:pPr>
        <w:numPr>
          <w:ilvl w:val="0"/>
          <w:numId w:val="2"/>
        </w:numPr>
        <w:tabs>
          <w:tab w:val="left" w:pos="720"/>
        </w:tabs>
        <w:ind w:left="720" w:hanging="360"/>
        <w:jc w:val="both"/>
        <w:rPr>
          <w:sz w:val="28"/>
          <w:szCs w:val="28"/>
          <w:lang w:val="en-GB"/>
        </w:rPr>
      </w:pPr>
      <w:r>
        <w:rPr>
          <w:sz w:val="28"/>
          <w:szCs w:val="28"/>
          <w:lang w:val="en-GB"/>
        </w:rPr>
        <w:t>Social impact of technology</w:t>
      </w:r>
    </w:p>
    <w:p w:rsidR="00B4157E" w:rsidRDefault="00B4157E">
      <w:pPr>
        <w:numPr>
          <w:ilvl w:val="0"/>
          <w:numId w:val="2"/>
        </w:numPr>
        <w:tabs>
          <w:tab w:val="left" w:pos="720"/>
        </w:tabs>
        <w:ind w:left="720" w:hanging="360"/>
        <w:jc w:val="both"/>
        <w:rPr>
          <w:b/>
          <w:bCs/>
          <w:i/>
          <w:iCs/>
          <w:sz w:val="28"/>
          <w:szCs w:val="28"/>
          <w:lang w:val="en-GB"/>
        </w:rPr>
      </w:pPr>
      <w:r>
        <w:rPr>
          <w:sz w:val="28"/>
          <w:szCs w:val="28"/>
          <w:lang w:val="en-GB"/>
        </w:rPr>
        <w:t>The role of Communications in modern life</w:t>
      </w:r>
    </w:p>
    <w:p w:rsidR="00B4157E" w:rsidRDefault="00B4157E">
      <w:pPr>
        <w:tabs>
          <w:tab w:val="left" w:pos="720"/>
        </w:tabs>
        <w:jc w:val="both"/>
        <w:rPr>
          <w:sz w:val="28"/>
          <w:szCs w:val="28"/>
          <w:lang w:val="en-GB"/>
        </w:rPr>
      </w:pPr>
      <w:r>
        <w:rPr>
          <w:b/>
          <w:bCs/>
          <w:i/>
          <w:iCs/>
          <w:sz w:val="28"/>
          <w:szCs w:val="28"/>
          <w:lang w:val="en-GB"/>
        </w:rPr>
        <w:lastRenderedPageBreak/>
        <w:t>Organization and Sponsorship –</w:t>
      </w:r>
      <w:r>
        <w:rPr>
          <w:sz w:val="28"/>
          <w:szCs w:val="28"/>
          <w:lang w:val="en-GB"/>
        </w:rPr>
        <w:t xml:space="preserve"> HISTELCON 08 is organized by IEEE Region 8 and Technicaly co-sponsored by IEEE History Committee and </w:t>
      </w:r>
      <w:smartTag w:uri="urn:schemas-microsoft-com:office:smarttags" w:element="place">
        <w:smartTag w:uri="urn:schemas-microsoft-com:office:smarttags" w:element="PlaceName">
          <w:r>
            <w:rPr>
              <w:sz w:val="28"/>
              <w:szCs w:val="28"/>
              <w:lang w:val="en-GB"/>
            </w:rPr>
            <w:t>IEEE</w:t>
          </w:r>
        </w:smartTag>
        <w:r>
          <w:rPr>
            <w:sz w:val="28"/>
            <w:szCs w:val="28"/>
            <w:lang w:val="en-GB"/>
          </w:rPr>
          <w:t xml:space="preserve"> </w:t>
        </w:r>
        <w:smartTag w:uri="urn:schemas-microsoft-com:office:smarttags" w:element="PlaceName">
          <w:r>
            <w:rPr>
              <w:sz w:val="28"/>
              <w:szCs w:val="28"/>
              <w:lang w:val="en-GB"/>
            </w:rPr>
            <w:t>History</w:t>
          </w:r>
        </w:smartTag>
        <w:r>
          <w:rPr>
            <w:sz w:val="28"/>
            <w:szCs w:val="28"/>
            <w:lang w:val="en-GB"/>
          </w:rPr>
          <w:t xml:space="preserve"> </w:t>
        </w:r>
        <w:smartTag w:uri="urn:schemas-microsoft-com:office:smarttags" w:element="PlaceType">
          <w:r>
            <w:rPr>
              <w:sz w:val="28"/>
              <w:szCs w:val="28"/>
              <w:lang w:val="en-GB"/>
            </w:rPr>
            <w:t>Center</w:t>
          </w:r>
        </w:smartTag>
      </w:smartTag>
      <w:r>
        <w:rPr>
          <w:sz w:val="28"/>
          <w:szCs w:val="28"/>
          <w:lang w:val="en-GB"/>
        </w:rPr>
        <w:t>.</w:t>
      </w:r>
    </w:p>
    <w:p w:rsidR="00B4157E" w:rsidRDefault="00B4157E">
      <w:pPr>
        <w:tabs>
          <w:tab w:val="left" w:pos="720"/>
        </w:tabs>
        <w:jc w:val="both"/>
        <w:rPr>
          <w:sz w:val="28"/>
          <w:szCs w:val="28"/>
          <w:lang w:val="en-GB"/>
        </w:rPr>
      </w:pPr>
      <w:r>
        <w:rPr>
          <w:sz w:val="28"/>
          <w:szCs w:val="28"/>
          <w:lang w:val="en-GB"/>
        </w:rPr>
        <w:t>Co-Sponsors: SEE, (Additional organizations contacted).</w:t>
      </w:r>
    </w:p>
    <w:p w:rsidR="00B4157E" w:rsidRDefault="00B4157E">
      <w:pPr>
        <w:ind w:left="360"/>
      </w:pPr>
      <w:r>
        <w:rPr>
          <w:sz w:val="28"/>
          <w:szCs w:val="28"/>
          <w:u w:val="single"/>
          <w:lang w:val="en-GB"/>
        </w:rPr>
        <w:t>Organizing Committee:</w:t>
      </w:r>
      <w:r>
        <w:rPr>
          <w:sz w:val="28"/>
          <w:szCs w:val="28"/>
          <w:lang w:val="en-GB"/>
        </w:rPr>
        <w:t xml:space="preserve"> </w:t>
      </w:r>
      <w:r>
        <w:rPr>
          <w:sz w:val="28"/>
          <w:szCs w:val="28"/>
          <w:lang w:val="en-GB"/>
        </w:rPr>
        <w:tab/>
      </w:r>
      <w:r>
        <w:rPr>
          <w:sz w:val="28"/>
          <w:szCs w:val="28"/>
          <w:lang w:val="en-GB"/>
        </w:rPr>
        <w:tab/>
      </w:r>
      <w:r>
        <w:rPr>
          <w:b/>
          <w:bCs/>
        </w:rPr>
        <w:t>Prof. Jean-Claude Boudenot – ISM IEEE – Chairman</w:t>
      </w:r>
    </w:p>
    <w:p w:rsidR="00B4157E" w:rsidRDefault="00B4157E">
      <w:pPr>
        <w:ind w:left="3960" w:firstLine="360"/>
      </w:pPr>
      <w:r>
        <w:rPr>
          <w:b/>
          <w:bCs/>
        </w:rPr>
        <w:t>Dr. Jacob Baal-Schem – Region 8 History Coordinator</w:t>
      </w:r>
    </w:p>
    <w:p w:rsidR="00B4157E" w:rsidRDefault="00B4157E">
      <w:pPr>
        <w:ind w:left="3600" w:firstLine="720"/>
      </w:pPr>
      <w:r>
        <w:rPr>
          <w:b/>
          <w:bCs/>
        </w:rPr>
        <w:t>Dr. Alain Bravo – SEE President</w:t>
      </w:r>
    </w:p>
    <w:p w:rsidR="00B4157E" w:rsidRDefault="00B4157E">
      <w:pPr>
        <w:ind w:left="3960" w:firstLine="360"/>
      </w:pPr>
      <w:r>
        <w:rPr>
          <w:b/>
          <w:bCs/>
        </w:rPr>
        <w:t>Prof. Peter Hill – R8 Life Members Coordinator</w:t>
      </w:r>
    </w:p>
    <w:p w:rsidR="00B4157E" w:rsidRDefault="00B4157E">
      <w:pPr>
        <w:ind w:left="3600" w:firstLine="720"/>
        <w:rPr>
          <w:rFonts w:ascii="Arial" w:hAnsi="Arial" w:cs="Arial"/>
          <w:b/>
          <w:bCs/>
          <w:sz w:val="20"/>
          <w:szCs w:val="20"/>
        </w:rPr>
      </w:pPr>
      <w:r>
        <w:rPr>
          <w:b/>
          <w:bCs/>
        </w:rPr>
        <w:t>Prof. Christine Nora – R8 Secretary</w:t>
      </w:r>
    </w:p>
    <w:p w:rsidR="00B4157E" w:rsidRDefault="00B4157E">
      <w:pPr>
        <w:rPr>
          <w:rFonts w:ascii="Arial" w:hAnsi="Arial" w:cs="Arial"/>
          <w:b/>
          <w:bCs/>
          <w:sz w:val="20"/>
          <w:szCs w:val="20"/>
        </w:rPr>
      </w:pPr>
      <w:r>
        <w:rPr>
          <w:rFonts w:ascii="Arial" w:hAnsi="Arial" w:cs="Arial"/>
          <w:b/>
          <w:bCs/>
          <w:sz w:val="20"/>
          <w:szCs w:val="20"/>
        </w:rPr>
        <w:t xml:space="preserve">      </w:t>
      </w:r>
    </w:p>
    <w:p w:rsidR="00B4157E" w:rsidRDefault="00B4157E">
      <w:pPr>
        <w:rPr>
          <w:b/>
          <w:bCs/>
        </w:rPr>
      </w:pPr>
      <w:r>
        <w:rPr>
          <w:rFonts w:ascii="Arial" w:hAnsi="Arial" w:cs="Arial"/>
          <w:b/>
          <w:bCs/>
          <w:sz w:val="20"/>
          <w:szCs w:val="20"/>
        </w:rPr>
        <w:t xml:space="preserve">      </w:t>
      </w:r>
      <w:r>
        <w:rPr>
          <w:sz w:val="28"/>
          <w:szCs w:val="28"/>
          <w:u w:val="single"/>
        </w:rPr>
        <w:t>Technical Program Committee:</w:t>
      </w:r>
      <w:r>
        <w:rPr>
          <w:sz w:val="28"/>
          <w:szCs w:val="28"/>
        </w:rPr>
        <w:tab/>
      </w:r>
      <w:r>
        <w:rPr>
          <w:b/>
          <w:bCs/>
        </w:rPr>
        <w:t xml:space="preserve">Prof. Pierre Mounier </w:t>
      </w:r>
      <w:proofErr w:type="gramStart"/>
      <w:r>
        <w:rPr>
          <w:b/>
          <w:bCs/>
        </w:rPr>
        <w:t>Kuhn  -</w:t>
      </w:r>
      <w:proofErr w:type="gramEnd"/>
      <w:r>
        <w:rPr>
          <w:b/>
          <w:bCs/>
        </w:rPr>
        <w:t xml:space="preserve"> Chairman</w:t>
      </w:r>
    </w:p>
    <w:p w:rsidR="00B4157E" w:rsidRDefault="00B4157E">
      <w:pPr>
        <w:rPr>
          <w:b/>
          <w:bCs/>
        </w:rPr>
      </w:pPr>
      <w:r>
        <w:rPr>
          <w:b/>
          <w:bCs/>
        </w:rPr>
        <w:tab/>
      </w:r>
      <w:r>
        <w:rPr>
          <w:b/>
          <w:bCs/>
        </w:rPr>
        <w:tab/>
      </w:r>
      <w:r>
        <w:rPr>
          <w:b/>
          <w:bCs/>
        </w:rPr>
        <w:tab/>
      </w:r>
      <w:r>
        <w:rPr>
          <w:b/>
          <w:bCs/>
        </w:rPr>
        <w:tab/>
      </w:r>
      <w:r>
        <w:rPr>
          <w:b/>
          <w:bCs/>
        </w:rPr>
        <w:tab/>
      </w:r>
      <w:r>
        <w:rPr>
          <w:b/>
          <w:bCs/>
        </w:rPr>
        <w:tab/>
        <w:t>Dr. Frederik Nebeker (</w:t>
      </w:r>
      <w:smartTag w:uri="urn:schemas-microsoft-com:office:smarttags" w:element="place">
        <w:smartTag w:uri="urn:schemas-microsoft-com:office:smarttags" w:element="PlaceName">
          <w:r>
            <w:rPr>
              <w:b/>
              <w:bCs/>
            </w:rPr>
            <w:t>IEEE</w:t>
          </w:r>
        </w:smartTag>
        <w:r>
          <w:rPr>
            <w:b/>
            <w:bCs/>
          </w:rPr>
          <w:t xml:space="preserve"> </w:t>
        </w:r>
        <w:smartTag w:uri="urn:schemas-microsoft-com:office:smarttags" w:element="PlaceName">
          <w:r>
            <w:rPr>
              <w:b/>
              <w:bCs/>
            </w:rPr>
            <w:t>History</w:t>
          </w:r>
        </w:smartTag>
        <w:r>
          <w:rPr>
            <w:b/>
            <w:bCs/>
          </w:rPr>
          <w:t xml:space="preserve"> </w:t>
        </w:r>
        <w:smartTag w:uri="urn:schemas-microsoft-com:office:smarttags" w:element="PlaceType">
          <w:r>
            <w:rPr>
              <w:b/>
              <w:bCs/>
            </w:rPr>
            <w:t>Center</w:t>
          </w:r>
        </w:smartTag>
      </w:smartTag>
      <w:r>
        <w:rPr>
          <w:b/>
          <w:bCs/>
        </w:rPr>
        <w:t>)</w:t>
      </w:r>
    </w:p>
    <w:p w:rsidR="00B4157E" w:rsidRDefault="00B4157E">
      <w:pPr>
        <w:rPr>
          <w:b/>
          <w:bCs/>
        </w:rPr>
      </w:pPr>
      <w:r>
        <w:rPr>
          <w:b/>
          <w:bCs/>
        </w:rPr>
        <w:tab/>
      </w:r>
      <w:r>
        <w:rPr>
          <w:b/>
          <w:bCs/>
        </w:rPr>
        <w:tab/>
      </w:r>
      <w:r>
        <w:rPr>
          <w:b/>
          <w:bCs/>
        </w:rPr>
        <w:tab/>
      </w:r>
      <w:r>
        <w:rPr>
          <w:b/>
          <w:bCs/>
        </w:rPr>
        <w:tab/>
      </w:r>
      <w:r>
        <w:rPr>
          <w:b/>
          <w:bCs/>
        </w:rPr>
        <w:tab/>
      </w:r>
      <w:r>
        <w:rPr>
          <w:b/>
          <w:bCs/>
        </w:rPr>
        <w:tab/>
        <w:t>Jean-Marie Colin</w:t>
      </w:r>
    </w:p>
    <w:p w:rsidR="00B4157E" w:rsidRDefault="00B4157E">
      <w:pPr>
        <w:rPr>
          <w:b/>
          <w:bCs/>
        </w:rPr>
      </w:pPr>
      <w:r>
        <w:rPr>
          <w:b/>
          <w:bCs/>
        </w:rPr>
        <w:tab/>
      </w:r>
      <w:r>
        <w:rPr>
          <w:b/>
          <w:bCs/>
        </w:rPr>
        <w:tab/>
      </w:r>
      <w:r>
        <w:rPr>
          <w:b/>
          <w:bCs/>
        </w:rPr>
        <w:tab/>
      </w:r>
      <w:r>
        <w:rPr>
          <w:b/>
          <w:bCs/>
        </w:rPr>
        <w:tab/>
      </w:r>
      <w:r>
        <w:rPr>
          <w:b/>
          <w:bCs/>
        </w:rPr>
        <w:tab/>
      </w:r>
      <w:r>
        <w:rPr>
          <w:b/>
          <w:bCs/>
        </w:rPr>
        <w:tab/>
        <w:t>Philippe Magne</w:t>
      </w:r>
    </w:p>
    <w:p w:rsidR="00B4157E" w:rsidRDefault="00B4157E">
      <w:pPr>
        <w:rPr>
          <w:b/>
          <w:bCs/>
        </w:rPr>
      </w:pPr>
    </w:p>
    <w:p w:rsidR="00B4157E" w:rsidRDefault="00B4157E">
      <w:pPr>
        <w:jc w:val="both"/>
        <w:rPr>
          <w:sz w:val="28"/>
          <w:szCs w:val="28"/>
        </w:rPr>
      </w:pPr>
      <w:r>
        <w:rPr>
          <w:b/>
          <w:bCs/>
          <w:i/>
          <w:iCs/>
          <w:sz w:val="28"/>
          <w:szCs w:val="28"/>
        </w:rPr>
        <w:t xml:space="preserve">Abstract submission deadline – </w:t>
      </w:r>
      <w:r>
        <w:rPr>
          <w:sz w:val="28"/>
          <w:szCs w:val="28"/>
        </w:rPr>
        <w:t xml:space="preserve">Technologists and Historians are invited to submit a </w:t>
      </w:r>
      <w:proofErr w:type="gramStart"/>
      <w:r>
        <w:rPr>
          <w:sz w:val="28"/>
          <w:szCs w:val="28"/>
        </w:rPr>
        <w:t>500 word</w:t>
      </w:r>
      <w:proofErr w:type="gramEnd"/>
      <w:r>
        <w:rPr>
          <w:sz w:val="28"/>
          <w:szCs w:val="28"/>
        </w:rPr>
        <w:t xml:space="preserve"> abstract of the paper they intend to present, </w:t>
      </w:r>
      <w:r>
        <w:rPr>
          <w:sz w:val="28"/>
          <w:szCs w:val="28"/>
          <w:u w:val="single"/>
        </w:rPr>
        <w:t>not later than 31 January 2008</w:t>
      </w:r>
      <w:r>
        <w:rPr>
          <w:sz w:val="28"/>
          <w:szCs w:val="28"/>
        </w:rPr>
        <w:t xml:space="preserve">. The abstract </w:t>
      </w:r>
      <w:proofErr w:type="gramStart"/>
      <w:r>
        <w:rPr>
          <w:sz w:val="28"/>
          <w:szCs w:val="28"/>
        </w:rPr>
        <w:t>will be used</w:t>
      </w:r>
      <w:proofErr w:type="gramEnd"/>
      <w:r>
        <w:rPr>
          <w:sz w:val="28"/>
          <w:szCs w:val="28"/>
        </w:rPr>
        <w:t xml:space="preserve"> by the Technical Program Committee as a basis for acceptance of the paper for a 20 minutes presentation. The abstract should clearly communicate the aim and content of the presentation. Each abstract should be followed by a short CV of the author(s</w:t>
      </w:r>
      <w:proofErr w:type="gramStart"/>
      <w:r>
        <w:rPr>
          <w:sz w:val="28"/>
          <w:szCs w:val="28"/>
        </w:rPr>
        <w:t>) ,</w:t>
      </w:r>
      <w:proofErr w:type="gramEnd"/>
      <w:r>
        <w:rPr>
          <w:sz w:val="28"/>
          <w:szCs w:val="28"/>
        </w:rPr>
        <w:t xml:space="preserve"> including affiliation and organization(s) membership.</w:t>
      </w:r>
    </w:p>
    <w:p w:rsidR="00B4157E" w:rsidRDefault="00B4157E">
      <w:pPr>
        <w:jc w:val="both"/>
        <w:rPr>
          <w:sz w:val="28"/>
          <w:szCs w:val="28"/>
        </w:rPr>
      </w:pPr>
      <w:r>
        <w:rPr>
          <w:sz w:val="28"/>
          <w:szCs w:val="28"/>
        </w:rPr>
        <w:t xml:space="preserve">All abstracts must be submitted electronically </w:t>
      </w:r>
      <w:proofErr w:type="gramStart"/>
      <w:r>
        <w:rPr>
          <w:sz w:val="28"/>
          <w:szCs w:val="28"/>
        </w:rPr>
        <w:t>to:</w:t>
      </w:r>
      <w:proofErr w:type="gramEnd"/>
      <w:r>
        <w:rPr>
          <w:sz w:val="28"/>
          <w:szCs w:val="28"/>
        </w:rPr>
        <w:t xml:space="preserve"> </w:t>
      </w:r>
      <w:hyperlink r:id="rId5" w:history="1">
        <w:r>
          <w:rPr>
            <w:rStyle w:val="Hyperlink"/>
            <w:sz w:val="28"/>
            <w:szCs w:val="28"/>
          </w:rPr>
          <w:t>histelcon@ieee.org</w:t>
        </w:r>
      </w:hyperlink>
      <w:r>
        <w:rPr>
          <w:sz w:val="28"/>
          <w:szCs w:val="28"/>
        </w:rPr>
        <w:t xml:space="preserve"> </w:t>
      </w:r>
    </w:p>
    <w:p w:rsidR="00B4157E" w:rsidRDefault="00B4157E">
      <w:pPr>
        <w:rPr>
          <w:b/>
          <w:bCs/>
          <w:i/>
          <w:iCs/>
          <w:sz w:val="28"/>
          <w:szCs w:val="28"/>
        </w:rPr>
      </w:pPr>
    </w:p>
    <w:p w:rsidR="00B4157E" w:rsidRDefault="00B4157E">
      <w:pPr>
        <w:jc w:val="both"/>
        <w:rPr>
          <w:sz w:val="28"/>
          <w:szCs w:val="28"/>
        </w:rPr>
      </w:pPr>
      <w:r>
        <w:rPr>
          <w:b/>
          <w:bCs/>
          <w:i/>
          <w:iCs/>
          <w:sz w:val="28"/>
          <w:szCs w:val="28"/>
        </w:rPr>
        <w:t xml:space="preserve">Submission of papers – </w:t>
      </w:r>
      <w:r>
        <w:rPr>
          <w:sz w:val="28"/>
          <w:szCs w:val="28"/>
        </w:rPr>
        <w:t xml:space="preserve">All papers </w:t>
      </w:r>
      <w:proofErr w:type="gramStart"/>
      <w:r>
        <w:rPr>
          <w:sz w:val="28"/>
          <w:szCs w:val="28"/>
        </w:rPr>
        <w:t>will be reviewed</w:t>
      </w:r>
      <w:proofErr w:type="gramEnd"/>
      <w:r>
        <w:rPr>
          <w:sz w:val="28"/>
          <w:szCs w:val="28"/>
        </w:rPr>
        <w:t xml:space="preserve"> for presentation and presented papers will be included in the Conference proceedings and in IEEE Explore. For each presented paper, one presenter will have </w:t>
      </w:r>
      <w:proofErr w:type="gramStart"/>
      <w:r>
        <w:rPr>
          <w:sz w:val="28"/>
          <w:szCs w:val="28"/>
        </w:rPr>
        <w:t>to fully register</w:t>
      </w:r>
      <w:proofErr w:type="gramEnd"/>
      <w:r>
        <w:rPr>
          <w:sz w:val="28"/>
          <w:szCs w:val="28"/>
        </w:rPr>
        <w:t xml:space="preserve"> to the Conference. Guidelines for preparation of papers will be provided in due time.</w:t>
      </w:r>
    </w:p>
    <w:p w:rsidR="00B4157E" w:rsidRDefault="00B4157E">
      <w:pPr>
        <w:jc w:val="both"/>
        <w:rPr>
          <w:sz w:val="28"/>
          <w:szCs w:val="28"/>
        </w:rPr>
      </w:pPr>
      <w:r>
        <w:rPr>
          <w:sz w:val="28"/>
          <w:szCs w:val="28"/>
        </w:rPr>
        <w:t>Paper acceptance notification – 15 April 2008</w:t>
      </w:r>
    </w:p>
    <w:p w:rsidR="00B4157E" w:rsidRDefault="00B4157E">
      <w:pPr>
        <w:jc w:val="both"/>
        <w:rPr>
          <w:sz w:val="28"/>
          <w:szCs w:val="28"/>
        </w:rPr>
      </w:pPr>
      <w:r>
        <w:rPr>
          <w:sz w:val="28"/>
          <w:szCs w:val="28"/>
        </w:rPr>
        <w:t xml:space="preserve">Final paper submission           </w:t>
      </w:r>
      <w:proofErr w:type="gramStart"/>
      <w:r>
        <w:rPr>
          <w:sz w:val="28"/>
          <w:szCs w:val="28"/>
        </w:rPr>
        <w:t>-  15</w:t>
      </w:r>
      <w:proofErr w:type="gramEnd"/>
      <w:r>
        <w:rPr>
          <w:sz w:val="28"/>
          <w:szCs w:val="28"/>
        </w:rPr>
        <w:t xml:space="preserve"> June 2008</w:t>
      </w:r>
      <w:r>
        <w:rPr>
          <w:sz w:val="28"/>
          <w:szCs w:val="28"/>
        </w:rPr>
        <w:tab/>
      </w:r>
      <w:r>
        <w:rPr>
          <w:sz w:val="28"/>
          <w:szCs w:val="28"/>
        </w:rPr>
        <w:tab/>
      </w:r>
    </w:p>
    <w:p w:rsidR="00B4157E" w:rsidRDefault="00B4157E">
      <w:pPr>
        <w:jc w:val="both"/>
        <w:rPr>
          <w:b/>
          <w:bCs/>
          <w:i/>
          <w:iCs/>
          <w:sz w:val="28"/>
          <w:szCs w:val="28"/>
        </w:rPr>
      </w:pPr>
    </w:p>
    <w:p w:rsidR="00B4157E" w:rsidRDefault="00B4157E">
      <w:pPr>
        <w:jc w:val="both"/>
        <w:rPr>
          <w:sz w:val="28"/>
          <w:szCs w:val="28"/>
        </w:rPr>
      </w:pPr>
      <w:r>
        <w:rPr>
          <w:b/>
          <w:bCs/>
          <w:i/>
          <w:iCs/>
          <w:sz w:val="28"/>
          <w:szCs w:val="28"/>
        </w:rPr>
        <w:t>Tutorials, Special sessions and Panels –</w:t>
      </w:r>
      <w:r>
        <w:rPr>
          <w:b/>
          <w:bCs/>
          <w:sz w:val="28"/>
          <w:szCs w:val="28"/>
        </w:rPr>
        <w:t xml:space="preserve"> </w:t>
      </w:r>
      <w:r>
        <w:rPr>
          <w:sz w:val="28"/>
          <w:szCs w:val="28"/>
        </w:rPr>
        <w:t xml:space="preserve">Proposal for Tutorials, Special sessions and Panels </w:t>
      </w:r>
      <w:proofErr w:type="gramStart"/>
      <w:r>
        <w:rPr>
          <w:sz w:val="28"/>
          <w:szCs w:val="28"/>
        </w:rPr>
        <w:t>should be forwarded</w:t>
      </w:r>
      <w:proofErr w:type="gramEnd"/>
      <w:r>
        <w:rPr>
          <w:sz w:val="28"/>
          <w:szCs w:val="28"/>
        </w:rPr>
        <w:t xml:space="preserve"> not later than 31 January 2008 to </w:t>
      </w:r>
      <w:hyperlink r:id="rId6" w:history="1">
        <w:r>
          <w:rPr>
            <w:rStyle w:val="Hyperlink"/>
            <w:sz w:val="28"/>
            <w:szCs w:val="28"/>
          </w:rPr>
          <w:t>histelcon@ieee.org</w:t>
        </w:r>
      </w:hyperlink>
      <w:r>
        <w:rPr>
          <w:sz w:val="28"/>
          <w:szCs w:val="28"/>
        </w:rPr>
        <w:t xml:space="preserve"> </w:t>
      </w:r>
    </w:p>
    <w:p w:rsidR="00B4157E" w:rsidRDefault="00B4157E">
      <w:pPr>
        <w:rPr>
          <w:b/>
          <w:bCs/>
        </w:rPr>
      </w:pPr>
    </w:p>
    <w:p w:rsidR="00B4157E" w:rsidRDefault="00B4157E">
      <w:pPr>
        <w:pStyle w:val="Heading7"/>
        <w:jc w:val="both"/>
        <w:rPr>
          <w:sz w:val="24"/>
        </w:rPr>
      </w:pPr>
      <w:r>
        <w:rPr>
          <w:rFonts w:ascii="Times New Roman" w:hAnsi="Times New Roman"/>
          <w:b/>
          <w:bCs/>
          <w:i/>
          <w:iCs/>
          <w:sz w:val="28"/>
          <w:szCs w:val="28"/>
        </w:rPr>
        <w:t>Language</w:t>
      </w:r>
      <w:r>
        <w:rPr>
          <w:b/>
          <w:bCs/>
          <w:i/>
          <w:iCs/>
          <w:sz w:val="24"/>
        </w:rPr>
        <w:t xml:space="preserve"> - </w:t>
      </w:r>
      <w:r>
        <w:rPr>
          <w:rFonts w:ascii="Times New Roman" w:hAnsi="Times New Roman"/>
          <w:sz w:val="28"/>
          <w:szCs w:val="28"/>
        </w:rPr>
        <w:t>The official language of the Conference will be English (including lectures and printed material).</w:t>
      </w:r>
      <w:r>
        <w:rPr>
          <w:sz w:val="24"/>
        </w:rPr>
        <w:t xml:space="preserve"> </w:t>
      </w:r>
    </w:p>
    <w:p w:rsidR="00B4157E" w:rsidRDefault="00B4157E"/>
    <w:p w:rsidR="00B4157E" w:rsidRDefault="00B4157E">
      <w:pPr>
        <w:jc w:val="both"/>
        <w:rPr>
          <w:sz w:val="28"/>
          <w:szCs w:val="28"/>
        </w:rPr>
      </w:pPr>
      <w:r>
        <w:rPr>
          <w:b/>
          <w:bCs/>
          <w:i/>
          <w:iCs/>
          <w:sz w:val="28"/>
          <w:szCs w:val="28"/>
        </w:rPr>
        <w:t>Book Exhibition</w:t>
      </w:r>
      <w:r>
        <w:rPr>
          <w:b/>
          <w:bCs/>
          <w:i/>
          <w:iCs/>
        </w:rPr>
        <w:t xml:space="preserve"> – </w:t>
      </w:r>
      <w:r>
        <w:rPr>
          <w:sz w:val="28"/>
          <w:szCs w:val="28"/>
        </w:rPr>
        <w:t xml:space="preserve">The Conference </w:t>
      </w:r>
      <w:proofErr w:type="gramStart"/>
      <w:r>
        <w:rPr>
          <w:sz w:val="28"/>
          <w:szCs w:val="28"/>
        </w:rPr>
        <w:t>will be accompanied</w:t>
      </w:r>
      <w:proofErr w:type="gramEnd"/>
      <w:r>
        <w:rPr>
          <w:sz w:val="28"/>
          <w:szCs w:val="28"/>
        </w:rPr>
        <w:t xml:space="preserve"> by an exhibition of books. Potential exhibitors </w:t>
      </w:r>
      <w:proofErr w:type="gramStart"/>
      <w:r>
        <w:rPr>
          <w:sz w:val="28"/>
          <w:szCs w:val="28"/>
        </w:rPr>
        <w:t>are kindly invited</w:t>
      </w:r>
      <w:proofErr w:type="gramEnd"/>
      <w:r>
        <w:rPr>
          <w:sz w:val="28"/>
          <w:szCs w:val="28"/>
        </w:rPr>
        <w:t xml:space="preserve"> to write to the Conference Secretariat.</w:t>
      </w:r>
    </w:p>
    <w:p w:rsidR="00B4157E" w:rsidRDefault="00B4157E">
      <w:pPr>
        <w:jc w:val="both"/>
        <w:rPr>
          <w:rFonts w:cs="Book Antiqua"/>
          <w:color w:val="000000"/>
          <w:sz w:val="23"/>
          <w:szCs w:val="23"/>
        </w:rPr>
      </w:pPr>
    </w:p>
    <w:p w:rsidR="00B4157E" w:rsidRDefault="00B4157E">
      <w:pPr>
        <w:pStyle w:val="Heading7"/>
        <w:jc w:val="both"/>
        <w:rPr>
          <w:b/>
          <w:bCs/>
          <w:sz w:val="24"/>
        </w:rPr>
      </w:pPr>
      <w:r>
        <w:rPr>
          <w:rFonts w:ascii="Times New Roman" w:hAnsi="Times New Roman"/>
          <w:b/>
          <w:bCs/>
          <w:i/>
          <w:iCs/>
          <w:sz w:val="28"/>
          <w:szCs w:val="28"/>
        </w:rPr>
        <w:t>Social Program and Tourist Services</w:t>
      </w:r>
      <w:r>
        <w:rPr>
          <w:b/>
          <w:bCs/>
          <w:i/>
          <w:iCs/>
          <w:sz w:val="24"/>
        </w:rPr>
        <w:t xml:space="preserve"> - </w:t>
      </w:r>
      <w:r>
        <w:rPr>
          <w:rFonts w:ascii="Times New Roman" w:hAnsi="Times New Roman"/>
          <w:sz w:val="28"/>
          <w:szCs w:val="28"/>
        </w:rPr>
        <w:t xml:space="preserve">A “Gala Dinner” is planned on September 11 as part of the social program. Activities for accompanying persons, will take place during the Conference. Post-Conference visits </w:t>
      </w:r>
      <w:proofErr w:type="gramStart"/>
      <w:r>
        <w:rPr>
          <w:rFonts w:ascii="Times New Roman" w:hAnsi="Times New Roman"/>
          <w:sz w:val="28"/>
          <w:szCs w:val="28"/>
        </w:rPr>
        <w:t>and  tours</w:t>
      </w:r>
      <w:proofErr w:type="gramEnd"/>
      <w:r>
        <w:rPr>
          <w:rFonts w:ascii="Times New Roman" w:hAnsi="Times New Roman"/>
          <w:sz w:val="28"/>
          <w:szCs w:val="28"/>
        </w:rPr>
        <w:t xml:space="preserve">  will be offered for those interested.</w:t>
      </w:r>
    </w:p>
    <w:p w:rsidR="00B4157E" w:rsidRDefault="00B4157E">
      <w:pPr>
        <w:ind w:left="2880" w:firstLine="720"/>
        <w:jc w:val="both"/>
        <w:rPr>
          <w:rFonts w:ascii="Arial" w:hAnsi="Arial" w:cs="Arial"/>
          <w:b/>
          <w:bCs/>
        </w:rPr>
      </w:pPr>
    </w:p>
    <w:p w:rsidR="00B4157E" w:rsidRDefault="00B4157E">
      <w:pPr>
        <w:rPr>
          <w:rFonts w:ascii="Arial" w:hAnsi="Arial" w:cs="Arial"/>
          <w:b/>
          <w:bCs/>
          <w:sz w:val="20"/>
          <w:szCs w:val="20"/>
        </w:rPr>
      </w:pPr>
      <w:r>
        <w:rPr>
          <w:rFonts w:ascii="Arial" w:hAnsi="Arial" w:cs="Arial"/>
          <w:b/>
          <w:bCs/>
          <w:sz w:val="20"/>
          <w:szCs w:val="20"/>
        </w:rPr>
        <w:t>__________________________________________________________________________________________</w:t>
      </w:r>
    </w:p>
    <w:p w:rsidR="00B4157E" w:rsidRDefault="00B4157E">
      <w:pPr>
        <w:tabs>
          <w:tab w:val="left" w:pos="720"/>
        </w:tabs>
        <w:jc w:val="both"/>
        <w:rPr>
          <w:b/>
          <w:bCs/>
          <w:sz w:val="28"/>
          <w:szCs w:val="28"/>
        </w:rPr>
      </w:pPr>
      <w:r>
        <w:rPr>
          <w:b/>
          <w:bCs/>
          <w:sz w:val="28"/>
          <w:szCs w:val="28"/>
        </w:rPr>
        <w:t>Conference Secretariat: histelcon@ieee.org</w:t>
      </w:r>
    </w:p>
    <w:sectPr w:rsidR="00B4157E">
      <w:pgSz w:w="11906" w:h="16838"/>
      <w:pgMar w:top="1440" w:right="746"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pPr>
      <w:rPr>
        <w:rFonts w:ascii="StarSymbol" w:hAnsi="StarSymbol"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StarSymbol" w:hAnsi="StarSymbol"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StarSymbol" w:hAnsi="StarSymbol"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1" w15:restartNumberingAfterBreak="0">
    <w:nsid w:val="1A02701E"/>
    <w:multiLevelType w:val="hybridMultilevel"/>
    <w:tmpl w:val="19C4DAF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29321FD5"/>
    <w:multiLevelType w:val="hybridMultilevel"/>
    <w:tmpl w:val="E9B0CA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991737A"/>
    <w:multiLevelType w:val="hybridMultilevel"/>
    <w:tmpl w:val="D83C2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71B"/>
    <w:rsid w:val="000B6727"/>
    <w:rsid w:val="00672AEC"/>
    <w:rsid w:val="0090071B"/>
    <w:rsid w:val="00B4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29F949F-1F33-415F-880F-F4D9714A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he-IL"/>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36"/>
      <w:szCs w:val="36"/>
    </w:rPr>
  </w:style>
  <w:style w:type="paragraph" w:styleId="Heading4">
    <w:name w:val="heading 4"/>
    <w:basedOn w:val="Normal"/>
    <w:next w:val="Normal"/>
    <w:qFormat/>
    <w:pPr>
      <w:keepNext/>
      <w:outlineLvl w:val="3"/>
    </w:pPr>
    <w:rPr>
      <w:rFonts w:ascii="Arial" w:hAnsi="Arial" w:cs="Arial"/>
      <w:b/>
      <w:bCs/>
      <w:i/>
      <w:iCs/>
      <w:sz w:val="36"/>
      <w:szCs w:val="36"/>
    </w:rPr>
  </w:style>
  <w:style w:type="paragraph" w:styleId="Heading7">
    <w:name w:val="heading 7"/>
    <w:basedOn w:val="Normal"/>
    <w:next w:val="Normal"/>
    <w:qFormat/>
    <w:pPr>
      <w:autoSpaceDE w:val="0"/>
      <w:autoSpaceDN w:val="0"/>
      <w:adjustRightInd w:val="0"/>
      <w:outlineLvl w:val="6"/>
    </w:pPr>
    <w:rPr>
      <w:rFonts w:ascii="Book Antiqua" w:hAnsi="Book Antiqua"/>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00"/>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stelcon@ieee.org" TargetMode="External"/><Relationship Id="rId5" Type="http://schemas.openxmlformats.org/officeDocument/2006/relationships/hyperlink" Target="mailto:histelcon@iee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 I S T E L C O N   2 0 0 8</vt:lpstr>
    </vt:vector>
  </TitlesOfParts>
  <Company>TAU</Company>
  <LinksUpToDate>false</LinksUpToDate>
  <CharactersWithSpaces>4713</CharactersWithSpaces>
  <SharedDoc>false</SharedDoc>
  <HLinks>
    <vt:vector size="12" baseType="variant">
      <vt:variant>
        <vt:i4>4259963</vt:i4>
      </vt:variant>
      <vt:variant>
        <vt:i4>3</vt:i4>
      </vt:variant>
      <vt:variant>
        <vt:i4>0</vt:i4>
      </vt:variant>
      <vt:variant>
        <vt:i4>5</vt:i4>
      </vt:variant>
      <vt:variant>
        <vt:lpwstr>mailto:histelcon@ieee.org</vt:lpwstr>
      </vt:variant>
      <vt:variant>
        <vt:lpwstr/>
      </vt:variant>
      <vt:variant>
        <vt:i4>4259963</vt:i4>
      </vt:variant>
      <vt:variant>
        <vt:i4>0</vt:i4>
      </vt:variant>
      <vt:variant>
        <vt:i4>0</vt:i4>
      </vt:variant>
      <vt:variant>
        <vt:i4>5</vt:i4>
      </vt:variant>
      <vt:variant>
        <vt:lpwstr>mailto:histelcon@ieee.org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I S T E L C O N   2 0 0 8</dc:title>
  <dc:subject/>
  <dc:creator>JacobJB</dc:creator>
  <cp:keywords/>
  <cp:lastModifiedBy>Brewer, Nathan</cp:lastModifiedBy>
  <cp:revision>2</cp:revision>
  <cp:lastPrinted>2007-09-05T13:30:00Z</cp:lastPrinted>
  <dcterms:created xsi:type="dcterms:W3CDTF">2018-07-03T14:14:00Z</dcterms:created>
  <dcterms:modified xsi:type="dcterms:W3CDTF">2018-07-03T14:14:00Z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1679620287</vt:i4>
  </property>
  <property fmtid="{D5CDD505-2E9C-101B-9397-08002B2CF9AE}" pid="3" name="_NewReviewCycle">
    <vt:lpwstr/>
  </property>
  <property fmtid="{D5CDD505-2E9C-101B-9397-08002B2CF9AE}" pid="4" name="_EmailSubject">
    <vt:lpwstr>IEEE Region 8 HISTELCON 2008 Paris, 11-12 Sep 08</vt:lpwstr>
  </property>
  <property fmtid="{D5CDD505-2E9C-101B-9397-08002B2CF9AE}" pid="5" name="_AuthorEmail">
    <vt:lpwstr>p.c.j.hill@cranfield.ac.uk</vt:lpwstr>
  </property>
  <property fmtid="{D5CDD505-2E9C-101B-9397-08002B2CF9AE}" pid="6" name="_AuthorEmailDisplayName">
    <vt:lpwstr>Hill, Peter</vt:lpwstr>
  </property>
  <property fmtid="{D5CDD505-2E9C-101B-9397-08002B2CF9AE}" pid="7" name="_ReviewingToolsShownOnce">
    <vt:lpwstr/>
  </property>
</Properties>
</file>